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w:t>
        <w:tab/>
        <w:tab/>
        <w:tab/>
        <w:tab/>
        <w:t xml:space="preserve">Fred and Theresa Holtzclaw</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tab/>
        <w:tab/>
        <w:tab/>
        <w:tab/>
        <w:tab/>
        <w:tab/>
        <w:tab/>
        <w:tab/>
        <w:tab/>
        <w:tab/>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36"/>
          <w:szCs w:val="36"/>
          <w:rtl w:val="0"/>
        </w:rPr>
        <w:t xml:space="preserve">Chapter 2</w:t>
      </w:r>
      <w:r w:rsidDel="00000000" w:rsidR="00000000" w:rsidRPr="00000000">
        <w:rPr>
          <w:rFonts w:ascii="Times New Roman" w:cs="Times New Roman" w:eastAsia="Times New Roman" w:hAnsi="Times New Roman"/>
          <w:sz w:val="36"/>
          <w:szCs w:val="36"/>
          <w:rtl w:val="0"/>
        </w:rPr>
        <w:t xml:space="preserve">4</w:t>
      </w:r>
      <w:r w:rsidDel="00000000" w:rsidR="00000000" w:rsidRPr="00000000">
        <w:rPr>
          <w:rFonts w:ascii="Times New Roman" w:cs="Times New Roman" w:eastAsia="Times New Roman" w:hAnsi="Times New Roman"/>
          <w:color w:val="000000"/>
          <w:sz w:val="36"/>
          <w:szCs w:val="36"/>
          <w:rtl w:val="0"/>
        </w:rPr>
        <w:t xml:space="preserve">—</w:t>
      </w:r>
      <w:r w:rsidDel="00000000" w:rsidR="00000000" w:rsidRPr="00000000">
        <w:rPr>
          <w:rFonts w:ascii="Times New Roman" w:cs="Times New Roman" w:eastAsia="Times New Roman" w:hAnsi="Times New Roman"/>
          <w:sz w:val="36"/>
          <w:szCs w:val="36"/>
          <w:rtl w:val="0"/>
        </w:rPr>
        <w:t xml:space="preserve">Early Life and the Diversification of Prokaryotes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24.1 Conditions on early Earth made the origin of life possible</w:t>
      </w:r>
      <w:r w:rsidDel="00000000" w:rsidR="00000000" w:rsidRPr="00000000">
        <w:rPr>
          <w:rtl w:val="0"/>
        </w:rPr>
      </w:r>
    </w:p>
    <w:p w:rsidR="00000000" w:rsidDel="00000000" w:rsidP="00000000" w:rsidRDefault="00000000" w:rsidRPr="00000000" w14:paraId="00000005">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How old is the planet? __________ How old is the earliest evidence of life on Earth? ____________</w:t>
      </w:r>
    </w:p>
    <w:p w:rsidR="00000000" w:rsidDel="00000000" w:rsidP="00000000" w:rsidRDefault="00000000" w:rsidRPr="00000000" w14:paraId="00000006">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current theory of the origin of life suggests a sequence of four main stages. Summarize them here.</w:t>
      </w:r>
    </w:p>
    <w:p w:rsidR="00000000" w:rsidDel="00000000" w:rsidP="00000000" w:rsidRDefault="00000000" w:rsidRPr="00000000" w14:paraId="00000008">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858000" cy="1574800"/>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858000" cy="15748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What was the early atmosphere like?  </w:t>
      </w:r>
    </w:p>
    <w:p w:rsidR="00000000" w:rsidDel="00000000" w:rsidP="00000000" w:rsidRDefault="00000000" w:rsidRPr="00000000" w14:paraId="0000000B">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i w:val="1"/>
          <w:rtl w:val="0"/>
        </w:rPr>
        <w:t xml:space="preserve">A. I. Oparin and J. B. S. Haldane </w:t>
      </w:r>
      <w:r w:rsidDel="00000000" w:rsidR="00000000" w:rsidRPr="00000000">
        <w:rPr>
          <w:rFonts w:ascii="Times New Roman" w:cs="Times New Roman" w:eastAsia="Times New Roman" w:hAnsi="Times New Roman"/>
          <w:rtl w:val="0"/>
        </w:rPr>
        <w:t xml:space="preserve">hypothesized that the early atmosphere was a </w:t>
      </w:r>
      <w:r w:rsidDel="00000000" w:rsidR="00000000" w:rsidRPr="00000000">
        <w:rPr>
          <w:rFonts w:ascii="Times New Roman" w:cs="Times New Roman" w:eastAsia="Times New Roman" w:hAnsi="Times New Roman"/>
          <w:i w:val="1"/>
          <w:rtl w:val="0"/>
        </w:rPr>
        <w:t xml:space="preserve">reducing environment</w:t>
      </w:r>
      <w:r w:rsidDel="00000000" w:rsidR="00000000" w:rsidRPr="00000000">
        <w:rPr>
          <w:rFonts w:ascii="Times New Roman" w:cs="Times New Roman" w:eastAsia="Times New Roman" w:hAnsi="Times New Roman"/>
          <w:rtl w:val="0"/>
        </w:rPr>
        <w:t xml:space="preserve">. What did they suggest was the source of energy for the early organic synthesis?</w:t>
      </w:r>
    </w:p>
    <w:p w:rsidR="00000000" w:rsidDel="00000000" w:rsidP="00000000" w:rsidRDefault="00000000" w:rsidRPr="00000000" w14:paraId="0000000E">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5162550</wp:posOffset>
            </wp:positionH>
            <wp:positionV relativeFrom="paragraph">
              <wp:posOffset>161925</wp:posOffset>
            </wp:positionV>
            <wp:extent cx="1697990" cy="2114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7990" cy="2114550"/>
                    </a:xfrm>
                    <a:prstGeom prst="rect"/>
                    <a:ln/>
                  </pic:spPr>
                </pic:pic>
              </a:graphicData>
            </a:graphic>
          </wp:anchor>
        </w:drawing>
      </w:r>
    </w:p>
    <w:p w:rsidR="00000000" w:rsidDel="00000000" w:rsidP="00000000" w:rsidRDefault="00000000" w:rsidRPr="00000000" w14:paraId="00000010">
      <w:pPr>
        <w:spacing w:after="0" w:line="240" w:lineRule="auto"/>
        <w:ind w:left="0" w:righ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5) Using the picture on the right, explain the significance of the Miller-Urey experiment in testing the abiotic synthesis hypothesis.  </w:t>
      </w:r>
      <w:r w:rsidDel="00000000" w:rsidR="00000000" w:rsidRPr="00000000">
        <w:rPr>
          <w:rFonts w:ascii="Times New Roman" w:cs="Times New Roman" w:eastAsia="Times New Roman" w:hAnsi="Times New Roman"/>
          <w:sz w:val="23"/>
          <w:szCs w:val="23"/>
          <w:rtl w:val="0"/>
        </w:rPr>
        <w:t xml:space="preserve">What was concluded from the results of this experiment?</w:t>
      </w:r>
    </w:p>
    <w:p w:rsidR="00000000" w:rsidDel="00000000" w:rsidP="00000000" w:rsidRDefault="00000000" w:rsidRPr="00000000" w14:paraId="00000012">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3">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5">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 What was proposed as the first genetic material, DNA or RNA? ____________ Explain the evidence for an early “RNA world.”</w:t>
      </w:r>
    </w:p>
    <w:p w:rsidR="00000000" w:rsidDel="00000000" w:rsidP="00000000" w:rsidRDefault="00000000" w:rsidRPr="00000000" w14:paraId="0000001C">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spacing w:after="0" w:line="240" w:lineRule="auto"/>
        <w:ind w:left="0" w:righ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24.2 Structural and functional adaptations contribute to prokaryotic success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ind w:left="720" w:hanging="7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3"/>
          <w:szCs w:val="23"/>
          <w:rtl w:val="0"/>
        </w:rPr>
        <w:t xml:space="preserve">3. Let’s focus on some general details about </w:t>
      </w:r>
      <w:r w:rsidDel="00000000" w:rsidR="00000000" w:rsidRPr="00000000">
        <w:rPr>
          <w:rFonts w:ascii="Times New Roman" w:cs="Times New Roman" w:eastAsia="Times New Roman" w:hAnsi="Times New Roman"/>
          <w:i w:val="1"/>
          <w:color w:val="000000"/>
          <w:sz w:val="23"/>
          <w:szCs w:val="23"/>
          <w:rtl w:val="0"/>
        </w:rPr>
        <w:t xml:space="preserve">prokaryotes</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482" w:line="24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 Are they multicellular or unicellular?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482" w:line="24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 Compare their size relative to eukaryotic cells.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3"/>
          <w:szCs w:val="23"/>
          <w:rtl w:val="0"/>
        </w:rPr>
        <w:t xml:space="preserve">d. What is the composition of the typical bacterial cell wall?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3"/>
          <w:szCs w:val="23"/>
          <w:rtl w:val="0"/>
        </w:rPr>
        <w:t xml:space="preserve">5. Quick review! What material comprises the cell wall of plants? of fungi?</w:t>
      </w:r>
      <w:r w:rsidDel="00000000" w:rsidR="00000000" w:rsidRPr="00000000">
        <w:drawing>
          <wp:anchor allowOverlap="1" behindDoc="0" distB="0" distT="0" distL="114300" distR="114300" hidden="0" layoutInCell="1" locked="0" relativeHeight="0" simplePos="0">
            <wp:simplePos x="0" y="0"/>
            <wp:positionH relativeFrom="margin">
              <wp:posOffset>4752975</wp:posOffset>
            </wp:positionH>
            <wp:positionV relativeFrom="paragraph">
              <wp:posOffset>74295</wp:posOffset>
            </wp:positionV>
            <wp:extent cx="2324100" cy="263017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324100" cy="2630170"/>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15. Label the following structures of a typical prokaryote seen here: </w:t>
      </w:r>
      <w:r w:rsidDel="00000000" w:rsidR="00000000" w:rsidRPr="00000000">
        <w:rPr>
          <w:rFonts w:ascii="Times New Roman" w:cs="Times New Roman" w:eastAsia="Times New Roman" w:hAnsi="Times New Roman"/>
          <w:i w:val="1"/>
          <w:sz w:val="23"/>
          <w:szCs w:val="23"/>
          <w:rtl w:val="0"/>
        </w:rPr>
        <w:t xml:space="preserve">cell wall, sex pilus, circular chromosome, nucleoid region, ribosomes, flagella, capsule,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fimbriae. </w:t>
      </w:r>
      <w:r w:rsidDel="00000000" w:rsidR="00000000" w:rsidRPr="00000000">
        <w:rPr>
          <w:rFonts w:ascii="Times New Roman" w:cs="Times New Roman" w:eastAsia="Times New Roman" w:hAnsi="Times New Roman"/>
          <w:sz w:val="23"/>
          <w:szCs w:val="23"/>
          <w:rtl w:val="0"/>
        </w:rPr>
        <w:t xml:space="preserve">Sketch in a plasmid or two, and label them. For each structure, know the function. (Go to the end of the chapter, p. 495, for help with this figure or p. 191 of your review book.)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F">
      <w:pPr>
        <w:spacing w:after="0" w:line="240" w:lineRule="auto"/>
        <w:ind w:left="720"/>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30. Compare the metabolic requirements of each group with respect to oxygen: </w:t>
      </w:r>
    </w:p>
    <w:p w:rsidR="00000000" w:rsidDel="00000000" w:rsidP="00000000" w:rsidRDefault="00000000" w:rsidRPr="00000000" w14:paraId="00000030">
      <w:pPr>
        <w:spacing w:after="0" w:line="240" w:lineRule="auto"/>
        <w:ind w:left="720" w:firstLine="0"/>
        <w:contextualSpacing w:val="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obligate aerobes </w:t>
      </w:r>
    </w:p>
    <w:p w:rsidR="00000000" w:rsidDel="00000000" w:rsidP="00000000" w:rsidRDefault="00000000" w:rsidRPr="00000000" w14:paraId="00000031">
      <w:pPr>
        <w:spacing w:after="0" w:line="240" w:lineRule="auto"/>
        <w:ind w:lef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spacing w:after="0" w:line="240" w:lineRule="auto"/>
        <w:ind w:lef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obligate anaerobes </w:t>
      </w:r>
    </w:p>
    <w:p w:rsidR="00000000" w:rsidDel="00000000" w:rsidP="00000000" w:rsidRDefault="00000000" w:rsidRPr="00000000" w14:paraId="00000034">
      <w:pPr>
        <w:spacing w:after="0" w:line="240" w:lineRule="auto"/>
        <w:ind w:lef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5">
      <w:pPr>
        <w:spacing w:after="0" w:line="240" w:lineRule="auto"/>
        <w:ind w:left="720" w:firstLine="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6">
      <w:pPr>
        <w:spacing w:after="0" w:line="240" w:lineRule="auto"/>
        <w:ind w:firstLine="30"/>
        <w:contextualSpacing w:val="0"/>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facultative anaerobes</w:t>
      </w:r>
    </w:p>
    <w:p w:rsidR="00000000" w:rsidDel="00000000" w:rsidP="00000000" w:rsidRDefault="00000000" w:rsidRPr="00000000" w14:paraId="00000037">
      <w:pPr>
        <w:spacing w:after="0" w:line="240" w:lineRule="auto"/>
        <w:ind w:firstLine="30"/>
        <w:contextualSpacing w:val="0"/>
        <w:jc w:val="both"/>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24.3 Rapid reproduction, mutation, and genetic recombination promote genetic diversity in prokaryotes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17. You should now have some idea why there is so much potential for genetic diversity with bacterial populations. Although mutation is the major source of genetic variation in prokaryotes, listed below are the other three ways variation is introduced. Explain each one.</w:t>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748"/>
        <w:tblGridChange w:id="0">
          <w:tblGrid>
            <w:gridCol w:w="2268"/>
            <w:gridCol w:w="8748"/>
          </w:tblGrid>
        </w:tblGridChange>
      </w:tblGrid>
      <w:tr>
        <w:trPr>
          <w:trHeight w:val="360" w:hRule="atLeast"/>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Source of Variation</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Summary of Explanation</w:t>
            </w:r>
          </w:p>
        </w:tc>
      </w:tr>
      <w:tr>
        <w:trPr>
          <w:trHeight w:val="620" w:hRule="atLeast"/>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Transformation</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620" w:hRule="atLeast"/>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Transduction</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520" w:hRule="atLeast"/>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Conjugation</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720" w:hanging="720"/>
        <w:contextualSpacing w:val="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ind w:left="720" w:hanging="720"/>
        <w:contextualSpacing w:val="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24.4 Prokaryotes have radiated into a diverse set of lineages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ind w:left="720" w:hanging="72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34. As you read in the Overview to this chapter, many archaea live on the edge and so are termed </w:t>
      </w:r>
      <w:r w:rsidDel="00000000" w:rsidR="00000000" w:rsidRPr="00000000">
        <w:rPr>
          <w:rFonts w:ascii="Times New Roman" w:cs="Times New Roman" w:eastAsia="Times New Roman" w:hAnsi="Times New Roman"/>
          <w:i w:val="1"/>
          <w:color w:val="000000"/>
          <w:sz w:val="23"/>
          <w:szCs w:val="23"/>
          <w:rtl w:val="0"/>
        </w:rPr>
        <w:t xml:space="preserve">extremophiles</w:t>
      </w:r>
      <w:r w:rsidDel="00000000" w:rsidR="00000000" w:rsidRPr="00000000">
        <w:rPr>
          <w:rFonts w:ascii="Times New Roman" w:cs="Times New Roman" w:eastAsia="Times New Roman" w:hAnsi="Times New Roman"/>
          <w:color w:val="000000"/>
          <w:sz w:val="23"/>
          <w:szCs w:val="23"/>
          <w:rtl w:val="0"/>
        </w:rPr>
        <w:t xml:space="preserve">. Where would you find these types of archaea?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extreme halophiles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extreme thermophiles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left="720" w:firstLine="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w:t>
      </w:r>
      <w:r w:rsidDel="00000000" w:rsidR="00000000" w:rsidRPr="00000000">
        <w:rPr>
          <w:rFonts w:ascii="Times New Roman" w:cs="Times New Roman" w:eastAsia="Times New Roman" w:hAnsi="Times New Roman"/>
          <w:i w:val="1"/>
          <w:color w:val="000000"/>
          <w:sz w:val="23"/>
          <w:szCs w:val="23"/>
          <w:rtl w:val="0"/>
        </w:rPr>
        <w:t xml:space="preserve">thermophiles </w:t>
      </w:r>
      <w:r w:rsidDel="00000000" w:rsidR="00000000" w:rsidRPr="00000000">
        <w:rPr>
          <w:rFonts w:ascii="Times New Roman" w:cs="Times New Roman" w:eastAsia="Times New Roman" w:hAnsi="Times New Roman"/>
          <w:color w:val="000000"/>
          <w:sz w:val="23"/>
          <w:szCs w:val="23"/>
          <w:rtl w:val="0"/>
        </w:rPr>
        <w:t xml:space="preserve">are interesting because their DNA and enzymes are stable at high temperatures. DNA polymerases from </w:t>
      </w:r>
      <w:r w:rsidDel="00000000" w:rsidR="00000000" w:rsidRPr="00000000">
        <w:rPr>
          <w:rFonts w:ascii="Times New Roman" w:cs="Times New Roman" w:eastAsia="Times New Roman" w:hAnsi="Times New Roman"/>
          <w:i w:val="1"/>
          <w:color w:val="000000"/>
          <w:sz w:val="23"/>
          <w:szCs w:val="23"/>
          <w:rtl w:val="0"/>
        </w:rPr>
        <w:t xml:space="preserve">thermophiles </w:t>
      </w:r>
      <w:r w:rsidDel="00000000" w:rsidR="00000000" w:rsidRPr="00000000">
        <w:rPr>
          <w:rFonts w:ascii="Times New Roman" w:cs="Times New Roman" w:eastAsia="Times New Roman" w:hAnsi="Times New Roman"/>
          <w:color w:val="000000"/>
          <w:sz w:val="23"/>
          <w:szCs w:val="23"/>
          <w:rtl w:val="0"/>
        </w:rPr>
        <w:t xml:space="preserve">are important in </w:t>
      </w:r>
      <w:r w:rsidDel="00000000" w:rsidR="00000000" w:rsidRPr="00000000">
        <w:rPr>
          <w:rFonts w:ascii="Times New Roman" w:cs="Times New Roman" w:eastAsia="Times New Roman" w:hAnsi="Times New Roman"/>
          <w:i w:val="1"/>
          <w:color w:val="000000"/>
          <w:sz w:val="23"/>
          <w:szCs w:val="23"/>
          <w:rtl w:val="0"/>
        </w:rPr>
        <w:t xml:space="preserve">polymerase chain reaction </w:t>
      </w:r>
      <w:r w:rsidDel="00000000" w:rsidR="00000000" w:rsidRPr="00000000">
        <w:rPr>
          <w:rFonts w:ascii="Times New Roman" w:cs="Times New Roman" w:eastAsia="Times New Roman" w:hAnsi="Times New Roman"/>
          <w:color w:val="000000"/>
          <w:sz w:val="23"/>
          <w:szCs w:val="23"/>
          <w:rtl w:val="0"/>
        </w:rPr>
        <w:t xml:space="preserve">(Chapter </w:t>
      </w:r>
      <w:r w:rsidDel="00000000" w:rsidR="00000000" w:rsidRPr="00000000">
        <w:rPr>
          <w:rFonts w:ascii="Times New Roman" w:cs="Times New Roman" w:eastAsia="Times New Roman" w:hAnsi="Times New Roman"/>
          <w:sz w:val="23"/>
          <w:szCs w:val="23"/>
          <w:rtl w:val="0"/>
        </w:rPr>
        <w:t xml:space="preserve">13</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35. Pee-yoo! </w:t>
      </w:r>
      <w:r w:rsidDel="00000000" w:rsidR="00000000" w:rsidRPr="00000000">
        <w:rPr>
          <w:rFonts w:ascii="Times New Roman" w:cs="Times New Roman" w:eastAsia="Times New Roman" w:hAnsi="Times New Roman"/>
          <w:i w:val="1"/>
          <w:color w:val="000000"/>
          <w:sz w:val="23"/>
          <w:szCs w:val="23"/>
          <w:rtl w:val="0"/>
        </w:rPr>
        <w:t xml:space="preserve">Methanogens </w:t>
      </w:r>
      <w:r w:rsidDel="00000000" w:rsidR="00000000" w:rsidRPr="00000000">
        <w:rPr>
          <w:rFonts w:ascii="Times New Roman" w:cs="Times New Roman" w:eastAsia="Times New Roman" w:hAnsi="Times New Roman"/>
          <w:color w:val="000000"/>
          <w:sz w:val="23"/>
          <w:szCs w:val="23"/>
          <w:rtl w:val="0"/>
        </w:rPr>
        <w:t xml:space="preserve">are found in many habitats. What are some of these habitats? What do they all have in common?</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b w:val="1"/>
          <w:i w:val="1"/>
          <w:color w:val="000000"/>
          <w:sz w:val="23"/>
          <w:szCs w:val="23"/>
        </w:rPr>
      </w:pPr>
      <w:r w:rsidDel="00000000" w:rsidR="00000000" w:rsidRPr="00000000">
        <w:rPr>
          <w:rFonts w:ascii="Times New Roman" w:cs="Times New Roman" w:eastAsia="Times New Roman" w:hAnsi="Times New Roman"/>
          <w:b w:val="1"/>
          <w:i w:val="1"/>
          <w:sz w:val="23"/>
          <w:szCs w:val="23"/>
          <w:rtl w:val="0"/>
        </w:rPr>
        <w:t xml:space="preserve">24.5 Prokaryotes play crucial roles in the biosphere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ind w:left="720" w:hanging="72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37. Define each of these terms,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Decomposers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symbiosis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host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mutualism</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commensalism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ind w:left="72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parasitism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lef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18) What are </w:t>
      </w:r>
      <w:r w:rsidDel="00000000" w:rsidR="00000000" w:rsidRPr="00000000">
        <w:rPr>
          <w:rFonts w:ascii="Times New Roman" w:cs="Times New Roman" w:eastAsia="Times New Roman" w:hAnsi="Times New Roman"/>
          <w:i w:val="1"/>
          <w:color w:val="000000"/>
          <w:sz w:val="22"/>
          <w:szCs w:val="22"/>
          <w:rtl w:val="0"/>
        </w:rPr>
        <w:t xml:space="preserve">antibiotics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lef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firstLine="3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19) Not all bacterial activity is negative. Humans employ bacteria for many diverse activities. Cite three human applications of prokaryotes here.</w:t>
      </w:r>
      <w:r w:rsidDel="00000000" w:rsidR="00000000" w:rsidRPr="00000000">
        <w:rPr>
          <w:rtl w:val="0"/>
        </w:rPr>
      </w:r>
    </w:p>
    <w:sectPr>
      <w:headerReference r:id="rId9"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